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D8D" w:rsidRPr="00A60003" w:rsidRDefault="00080056" w:rsidP="001606BC">
      <w:pPr>
        <w:rPr>
          <w:rFonts w:ascii="Arial" w:hAnsi="Arial" w:cs="Arial"/>
          <w:sz w:val="20"/>
        </w:rPr>
      </w:pPr>
      <w:r w:rsidRPr="00A60003">
        <w:rPr>
          <w:rFonts w:ascii="Arial" w:hAnsi="Arial" w:cs="Arial"/>
          <w:sz w:val="20"/>
        </w:rPr>
        <w:t>Career in T</w:t>
      </w:r>
      <w:r w:rsidR="00675D8D" w:rsidRPr="00A60003">
        <w:rPr>
          <w:rFonts w:ascii="Arial" w:hAnsi="Arial" w:cs="Arial"/>
          <w:sz w:val="20"/>
        </w:rPr>
        <w:t>eaching Tool</w:t>
      </w:r>
      <w:r w:rsidR="005A77A4" w:rsidRPr="00A60003">
        <w:rPr>
          <w:rFonts w:ascii="Arial" w:hAnsi="Arial" w:cs="Arial"/>
          <w:sz w:val="20"/>
        </w:rPr>
        <w:t xml:space="preserve">: </w:t>
      </w:r>
      <w:r w:rsidR="00E427FE">
        <w:rPr>
          <w:rFonts w:ascii="Arial" w:hAnsi="Arial" w:cs="Arial"/>
          <w:sz w:val="20"/>
        </w:rPr>
        <w:t xml:space="preserve">School </w:t>
      </w:r>
      <w:r w:rsidR="005A77A4" w:rsidRPr="00A60003">
        <w:rPr>
          <w:rFonts w:ascii="Arial" w:hAnsi="Arial" w:cs="Arial"/>
          <w:sz w:val="20"/>
        </w:rPr>
        <w:t>Counselors</w:t>
      </w:r>
    </w:p>
    <w:p w:rsidR="00675D8D" w:rsidRPr="00E33239" w:rsidRDefault="007D3B9B" w:rsidP="00590CEB">
      <w:pPr>
        <w:ind w:left="1980" w:firstLine="180"/>
        <w:rPr>
          <w:rFonts w:ascii="Verdana" w:hAnsi="Verdana"/>
          <w:sz w:val="36"/>
          <w:szCs w:val="36"/>
        </w:rPr>
      </w:pPr>
      <w:r w:rsidRPr="00E427FE">
        <w:rPr>
          <w:rFonts w:ascii="Verdana" w:hAnsi="Verdana"/>
          <w:b/>
          <w:noProof/>
          <w:color w:val="0070C0"/>
          <w:sz w:val="36"/>
          <w:szCs w:val="36"/>
        </w:rPr>
        <w:drawing>
          <wp:anchor distT="0" distB="0" distL="114300" distR="114300" simplePos="0" relativeHeight="251657728" behindDoc="1" locked="0" layoutInCell="1" allowOverlap="1">
            <wp:simplePos x="0" y="0"/>
            <wp:positionH relativeFrom="column">
              <wp:posOffset>0</wp:posOffset>
            </wp:positionH>
            <wp:positionV relativeFrom="paragraph">
              <wp:posOffset>67310</wp:posOffset>
            </wp:positionV>
            <wp:extent cx="810895" cy="755650"/>
            <wp:effectExtent l="0" t="0" r="0" b="0"/>
            <wp:wrapNone/>
            <wp:docPr id="2" name="Picture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89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D8D" w:rsidRPr="00E427FE">
        <w:rPr>
          <w:rFonts w:ascii="Verdana" w:hAnsi="Verdana"/>
          <w:b/>
          <w:color w:val="0070C0"/>
          <w:sz w:val="36"/>
          <w:szCs w:val="36"/>
        </w:rPr>
        <w:t xml:space="preserve">Collaborative </w:t>
      </w:r>
      <w:r w:rsidR="00080056" w:rsidRPr="00E427FE">
        <w:rPr>
          <w:rFonts w:ascii="Verdana" w:hAnsi="Verdana"/>
          <w:b/>
          <w:color w:val="0070C0"/>
          <w:sz w:val="36"/>
          <w:szCs w:val="36"/>
        </w:rPr>
        <w:t>Mentor</w:t>
      </w:r>
      <w:r w:rsidR="00C1565C" w:rsidRPr="00E427FE">
        <w:rPr>
          <w:rFonts w:ascii="Verdana" w:hAnsi="Verdana"/>
          <w:b/>
          <w:color w:val="0070C0"/>
          <w:sz w:val="36"/>
          <w:szCs w:val="36"/>
        </w:rPr>
        <w:t>-Intern</w:t>
      </w:r>
      <w:r w:rsidR="00080056" w:rsidRPr="00E427FE">
        <w:rPr>
          <w:rFonts w:ascii="Verdana" w:hAnsi="Verdana"/>
          <w:b/>
          <w:color w:val="0070C0"/>
          <w:sz w:val="36"/>
          <w:szCs w:val="36"/>
        </w:rPr>
        <w:t xml:space="preserve"> Feedback</w:t>
      </w:r>
      <w:r w:rsidR="00C1565C" w:rsidRPr="00E427FE">
        <w:rPr>
          <w:rFonts w:ascii="Verdana" w:hAnsi="Verdana"/>
          <w:b/>
          <w:color w:val="0070C0"/>
          <w:sz w:val="36"/>
          <w:szCs w:val="36"/>
        </w:rPr>
        <w:t xml:space="preserve"> Form</w:t>
      </w:r>
      <w:r w:rsidR="00D41DBF" w:rsidRPr="00E427FE">
        <w:rPr>
          <w:rFonts w:ascii="Verdana" w:hAnsi="Verdana"/>
          <w:b/>
          <w:color w:val="0070C0"/>
          <w:sz w:val="36"/>
          <w:szCs w:val="36"/>
        </w:rPr>
        <w:t xml:space="preserve"> </w:t>
      </w:r>
      <w:r w:rsidR="00E33239" w:rsidRPr="00E427FE">
        <w:rPr>
          <w:rFonts w:ascii="Verdana" w:hAnsi="Verdana"/>
          <w:b/>
          <w:color w:val="0070C0"/>
          <w:sz w:val="36"/>
          <w:szCs w:val="36"/>
        </w:rPr>
        <w:t>(</w:t>
      </w:r>
      <w:r w:rsidR="00E33239" w:rsidRPr="00BF5779">
        <w:rPr>
          <w:rFonts w:ascii="Verdana" w:hAnsi="Verdana"/>
          <w:b/>
          <w:color w:val="0070C0"/>
          <w:sz w:val="36"/>
          <w:szCs w:val="36"/>
        </w:rPr>
        <w:t>Counselors</w:t>
      </w:r>
      <w:r w:rsidR="00E33239" w:rsidRPr="00E33239">
        <w:rPr>
          <w:rFonts w:ascii="Verdana" w:hAnsi="Verdana"/>
          <w:sz w:val="36"/>
          <w:szCs w:val="36"/>
        </w:rPr>
        <w:t>)</w:t>
      </w:r>
    </w:p>
    <w:p w:rsidR="001606BC" w:rsidRDefault="001606BC" w:rsidP="00590CEB">
      <w:pPr>
        <w:ind w:left="1980" w:firstLine="180"/>
        <w:rPr>
          <w:rFonts w:ascii="Verdana" w:hAnsi="Verdana"/>
          <w:b/>
          <w:sz w:val="18"/>
          <w:szCs w:val="18"/>
        </w:rPr>
      </w:pPr>
    </w:p>
    <w:p w:rsidR="00A60003" w:rsidRPr="00E427FE" w:rsidRDefault="00D41DBF" w:rsidP="00A60003">
      <w:pPr>
        <w:spacing w:line="480" w:lineRule="auto"/>
        <w:ind w:left="1440"/>
        <w:rPr>
          <w:rFonts w:ascii="Verdana" w:hAnsi="Verdana"/>
          <w:sz w:val="18"/>
          <w:szCs w:val="18"/>
        </w:rPr>
      </w:pPr>
      <w:r w:rsidRPr="00E427FE">
        <w:rPr>
          <w:rFonts w:ascii="Verdana" w:hAnsi="Verdana"/>
          <w:sz w:val="18"/>
          <w:szCs w:val="18"/>
        </w:rPr>
        <w:t>Counselor Name</w:t>
      </w:r>
      <w:r w:rsidR="004E5550" w:rsidRPr="00E427FE">
        <w:rPr>
          <w:rFonts w:ascii="Verdana" w:hAnsi="Verdana"/>
          <w:sz w:val="18"/>
          <w:szCs w:val="18"/>
        </w:rPr>
        <w:t>:</w:t>
      </w:r>
      <w:r w:rsidR="00AF4FFC" w:rsidRPr="00E427FE">
        <w:rPr>
          <w:rFonts w:ascii="Verdana" w:hAnsi="Verdana"/>
          <w:sz w:val="18"/>
          <w:szCs w:val="18"/>
        </w:rPr>
        <w:t xml:space="preserve"> </w:t>
      </w:r>
      <w:r w:rsidR="001606BC" w:rsidRPr="00E427FE">
        <w:rPr>
          <w:rFonts w:ascii="Verdana" w:hAnsi="Verdana"/>
          <w:sz w:val="18"/>
          <w:szCs w:val="18"/>
        </w:rPr>
        <w:t>___________</w:t>
      </w:r>
      <w:r w:rsidR="004E5550" w:rsidRPr="00E427FE">
        <w:rPr>
          <w:rFonts w:ascii="Verdana" w:hAnsi="Verdana"/>
          <w:sz w:val="18"/>
          <w:szCs w:val="18"/>
        </w:rPr>
        <w:t>___________________</w:t>
      </w:r>
      <w:r w:rsidR="00E427FE">
        <w:rPr>
          <w:rFonts w:ascii="Verdana" w:hAnsi="Verdana"/>
          <w:sz w:val="18"/>
          <w:szCs w:val="18"/>
        </w:rPr>
        <w:t>_______</w:t>
      </w:r>
      <w:r w:rsidR="004E5550" w:rsidRPr="00E427FE">
        <w:rPr>
          <w:rFonts w:ascii="Verdana" w:hAnsi="Verdana"/>
          <w:sz w:val="18"/>
          <w:szCs w:val="18"/>
        </w:rPr>
        <w:t>_____</w:t>
      </w:r>
      <w:r w:rsidR="00A60003" w:rsidRPr="00E427FE">
        <w:rPr>
          <w:rFonts w:ascii="Verdana" w:hAnsi="Verdana"/>
          <w:sz w:val="18"/>
          <w:szCs w:val="18"/>
        </w:rPr>
        <w:tab/>
      </w:r>
      <w:r w:rsidR="00E427FE">
        <w:rPr>
          <w:rFonts w:ascii="Verdana" w:hAnsi="Verdana"/>
          <w:sz w:val="18"/>
          <w:szCs w:val="18"/>
        </w:rPr>
        <w:t xml:space="preserve">      </w:t>
      </w:r>
      <w:r w:rsidR="00A60003" w:rsidRPr="00E427FE">
        <w:rPr>
          <w:rFonts w:ascii="Verdana" w:hAnsi="Verdana"/>
          <w:sz w:val="18"/>
          <w:szCs w:val="18"/>
        </w:rPr>
        <w:t>Mentor __________</w:t>
      </w:r>
      <w:r w:rsidR="00E427FE">
        <w:rPr>
          <w:rFonts w:ascii="Verdana" w:hAnsi="Verdana"/>
          <w:sz w:val="18"/>
          <w:szCs w:val="18"/>
        </w:rPr>
        <w:t>_______</w:t>
      </w:r>
      <w:r w:rsidR="00A60003" w:rsidRPr="00E427FE">
        <w:rPr>
          <w:rFonts w:ascii="Verdana" w:hAnsi="Verdana"/>
          <w:sz w:val="18"/>
          <w:szCs w:val="18"/>
        </w:rPr>
        <w:t>_____________________________</w:t>
      </w:r>
    </w:p>
    <w:p w:rsidR="00E427FE" w:rsidRDefault="00E427FE" w:rsidP="00E427FE">
      <w:pPr>
        <w:ind w:left="1440"/>
        <w:rPr>
          <w:rFonts w:ascii="Verdana" w:hAnsi="Verdana"/>
          <w:sz w:val="20"/>
        </w:rPr>
      </w:pPr>
      <w:r>
        <w:rPr>
          <w:rFonts w:ascii="Verdana" w:hAnsi="Verdana"/>
          <w:sz w:val="20"/>
        </w:rPr>
        <w:t>Work Location: __________________________   Signature: _________________________________ Date</w:t>
      </w:r>
      <w:proofErr w:type="gramStart"/>
      <w:r>
        <w:rPr>
          <w:rFonts w:ascii="Verdana" w:hAnsi="Verdana"/>
          <w:sz w:val="20"/>
        </w:rPr>
        <w:t>:_</w:t>
      </w:r>
      <w:proofErr w:type="gramEnd"/>
      <w:r>
        <w:rPr>
          <w:rFonts w:ascii="Verdana" w:hAnsi="Verdana"/>
          <w:sz w:val="20"/>
        </w:rPr>
        <w:t>_____________</w:t>
      </w:r>
    </w:p>
    <w:p w:rsidR="004E5550" w:rsidRPr="00E427FE" w:rsidRDefault="004E5550" w:rsidP="00E427FE">
      <w:pPr>
        <w:ind w:left="-187"/>
        <w:rPr>
          <w:rFonts w:ascii="Verdana" w:hAnsi="Verdana"/>
          <w:i/>
          <w:sz w:val="16"/>
        </w:rPr>
      </w:pPr>
      <w:r w:rsidRPr="00E427FE">
        <w:rPr>
          <w:rFonts w:ascii="Verdana" w:hAnsi="Verdana"/>
          <w:i/>
          <w:sz w:val="16"/>
        </w:rPr>
        <w:t>Check all that apply:</w:t>
      </w:r>
    </w:p>
    <w:tbl>
      <w:tblPr>
        <w:tblpPr w:leftFromText="180" w:rightFromText="180" w:vertAnchor="text" w:horzAnchor="margin" w:tblpY="101"/>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509"/>
        <w:gridCol w:w="3071"/>
        <w:gridCol w:w="2700"/>
        <w:gridCol w:w="2947"/>
      </w:tblGrid>
      <w:tr w:rsidR="00BF5779" w:rsidRPr="00675D8D" w:rsidTr="000830B9">
        <w:trPr>
          <w:trHeight w:val="1013"/>
        </w:trPr>
        <w:tc>
          <w:tcPr>
            <w:tcW w:w="3438" w:type="dxa"/>
            <w:shd w:val="clear" w:color="auto" w:fill="auto"/>
          </w:tcPr>
          <w:p w:rsidR="00BF5779" w:rsidRPr="00675D8D"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 xml:space="preserve">Analyzing Student </w:t>
            </w:r>
            <w:r>
              <w:rPr>
                <w:rFonts w:ascii="Verdana" w:hAnsi="Verdana"/>
                <w:i/>
                <w:sz w:val="14"/>
                <w:szCs w:val="14"/>
              </w:rPr>
              <w:t>Progress</w:t>
            </w:r>
          </w:p>
          <w:p w:rsidR="00BF5779" w:rsidRPr="00675D8D"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Communicating with Parents</w:t>
            </w:r>
          </w:p>
          <w:p w:rsidR="00BF5779" w:rsidRDefault="00BF5779" w:rsidP="00BF5779">
            <w:pPr>
              <w:numPr>
                <w:ilvl w:val="0"/>
                <w:numId w:val="11"/>
              </w:numPr>
              <w:ind w:left="180" w:hanging="180"/>
              <w:rPr>
                <w:rFonts w:ascii="Verdana" w:hAnsi="Verdana"/>
                <w:i/>
                <w:sz w:val="14"/>
                <w:szCs w:val="14"/>
              </w:rPr>
            </w:pPr>
            <w:r>
              <w:rPr>
                <w:rFonts w:ascii="Verdana" w:hAnsi="Verdana"/>
                <w:i/>
                <w:sz w:val="14"/>
                <w:szCs w:val="14"/>
              </w:rPr>
              <w:t>Discussion of  NYS Counseling</w:t>
            </w:r>
            <w:r w:rsidRPr="00675D8D">
              <w:rPr>
                <w:rFonts w:ascii="Verdana" w:hAnsi="Verdana"/>
                <w:i/>
                <w:sz w:val="14"/>
                <w:szCs w:val="14"/>
              </w:rPr>
              <w:t xml:space="preserve"> Standards</w:t>
            </w:r>
          </w:p>
          <w:p w:rsidR="00BF5779" w:rsidRPr="00BF5779"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Developing/Reviewing Professional Goals</w:t>
            </w:r>
          </w:p>
        </w:tc>
        <w:tc>
          <w:tcPr>
            <w:tcW w:w="2509" w:type="dxa"/>
            <w:shd w:val="clear" w:color="auto" w:fill="auto"/>
          </w:tcPr>
          <w:p w:rsidR="00BF5779" w:rsidRPr="00675D8D"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Discussing Case Study Student</w:t>
            </w:r>
          </w:p>
          <w:p w:rsidR="00BF5779" w:rsidRPr="00675D8D"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 xml:space="preserve">IEP </w:t>
            </w:r>
            <w:r>
              <w:rPr>
                <w:rFonts w:ascii="Verdana" w:hAnsi="Verdana"/>
                <w:i/>
                <w:sz w:val="14"/>
                <w:szCs w:val="14"/>
              </w:rPr>
              <w:t>Meeting Preparation</w:t>
            </w:r>
          </w:p>
          <w:p w:rsidR="00BF5779" w:rsidRPr="00BF5779" w:rsidRDefault="00BF5779" w:rsidP="00BF5779">
            <w:pPr>
              <w:numPr>
                <w:ilvl w:val="0"/>
                <w:numId w:val="11"/>
              </w:numPr>
              <w:ind w:left="180" w:hanging="180"/>
              <w:rPr>
                <w:rFonts w:ascii="Verdana" w:hAnsi="Verdana"/>
                <w:i/>
                <w:sz w:val="14"/>
                <w:szCs w:val="14"/>
              </w:rPr>
            </w:pPr>
            <w:r>
              <w:rPr>
                <w:rFonts w:ascii="Verdana" w:hAnsi="Verdana"/>
                <w:i/>
                <w:sz w:val="14"/>
                <w:szCs w:val="14"/>
              </w:rPr>
              <w:t>Modeling Counseling Technique(s)</w:t>
            </w:r>
          </w:p>
        </w:tc>
        <w:tc>
          <w:tcPr>
            <w:tcW w:w="3071" w:type="dxa"/>
            <w:shd w:val="clear" w:color="auto" w:fill="auto"/>
          </w:tcPr>
          <w:p w:rsidR="00BF5779" w:rsidRPr="00675D8D"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 xml:space="preserve">Observing </w:t>
            </w:r>
            <w:r>
              <w:rPr>
                <w:rFonts w:ascii="Verdana" w:hAnsi="Verdana"/>
                <w:i/>
                <w:sz w:val="14"/>
                <w:szCs w:val="14"/>
              </w:rPr>
              <w:t>Counseling Session/Group</w:t>
            </w:r>
          </w:p>
          <w:p w:rsidR="00BF5779"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 xml:space="preserve">Observing Mentor or other Veteran </w:t>
            </w:r>
            <w:r>
              <w:rPr>
                <w:rFonts w:ascii="Verdana" w:hAnsi="Verdana"/>
                <w:i/>
                <w:sz w:val="14"/>
                <w:szCs w:val="14"/>
              </w:rPr>
              <w:t>Counselor</w:t>
            </w:r>
          </w:p>
          <w:p w:rsidR="00BF5779" w:rsidRPr="00BF5779"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 xml:space="preserve">Planning </w:t>
            </w:r>
            <w:r>
              <w:rPr>
                <w:rFonts w:ascii="Verdana" w:hAnsi="Verdana"/>
                <w:i/>
                <w:sz w:val="14"/>
                <w:szCs w:val="14"/>
              </w:rPr>
              <w:t>Counseling experience (PSAT, Group Counseling)</w:t>
            </w:r>
          </w:p>
        </w:tc>
        <w:tc>
          <w:tcPr>
            <w:tcW w:w="2700" w:type="dxa"/>
            <w:shd w:val="clear" w:color="auto" w:fill="auto"/>
          </w:tcPr>
          <w:p w:rsidR="00BF5779" w:rsidRPr="00675D8D" w:rsidRDefault="00BF5779" w:rsidP="00BF5779">
            <w:pPr>
              <w:numPr>
                <w:ilvl w:val="0"/>
                <w:numId w:val="11"/>
              </w:numPr>
              <w:ind w:left="180" w:hanging="180"/>
              <w:rPr>
                <w:rFonts w:ascii="Verdana" w:hAnsi="Verdana"/>
                <w:i/>
                <w:sz w:val="14"/>
                <w:szCs w:val="14"/>
              </w:rPr>
            </w:pPr>
            <w:r>
              <w:rPr>
                <w:rFonts w:ascii="Verdana" w:hAnsi="Verdana"/>
                <w:i/>
                <w:sz w:val="14"/>
                <w:szCs w:val="14"/>
              </w:rPr>
              <w:t>Problem Solving Intern’s Issues</w:t>
            </w:r>
          </w:p>
          <w:p w:rsidR="00BF5779"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Providing Resources</w:t>
            </w:r>
          </w:p>
          <w:p w:rsidR="00BF5779" w:rsidRPr="00675D8D"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Pre-Observation Conference</w:t>
            </w:r>
          </w:p>
          <w:p w:rsidR="00BF5779" w:rsidRPr="00BF5779"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Post-Observation Conference</w:t>
            </w:r>
          </w:p>
        </w:tc>
        <w:tc>
          <w:tcPr>
            <w:tcW w:w="2947" w:type="dxa"/>
            <w:shd w:val="clear" w:color="auto" w:fill="auto"/>
          </w:tcPr>
          <w:p w:rsidR="00BF5779" w:rsidRDefault="00BF5779" w:rsidP="00BF5779">
            <w:pPr>
              <w:numPr>
                <w:ilvl w:val="0"/>
                <w:numId w:val="11"/>
              </w:numPr>
              <w:ind w:left="180" w:hanging="180"/>
              <w:rPr>
                <w:rFonts w:ascii="Verdana" w:hAnsi="Verdana"/>
                <w:i/>
                <w:sz w:val="14"/>
                <w:szCs w:val="14"/>
              </w:rPr>
            </w:pPr>
            <w:r>
              <w:rPr>
                <w:rFonts w:ascii="Verdana" w:hAnsi="Verdana"/>
                <w:i/>
                <w:sz w:val="14"/>
                <w:szCs w:val="14"/>
              </w:rPr>
              <w:t>Reflecting</w:t>
            </w:r>
          </w:p>
          <w:p w:rsidR="00BF5779" w:rsidRPr="00675D8D"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Using Technology</w:t>
            </w:r>
          </w:p>
          <w:p w:rsidR="00BF5779" w:rsidRPr="00675D8D" w:rsidRDefault="00BF5779" w:rsidP="00BF5779">
            <w:pPr>
              <w:numPr>
                <w:ilvl w:val="0"/>
                <w:numId w:val="11"/>
              </w:numPr>
              <w:ind w:left="180" w:hanging="180"/>
              <w:rPr>
                <w:rFonts w:ascii="Verdana" w:hAnsi="Verdana"/>
                <w:i/>
                <w:sz w:val="14"/>
                <w:szCs w:val="14"/>
              </w:rPr>
            </w:pPr>
            <w:r w:rsidRPr="00675D8D">
              <w:rPr>
                <w:rFonts w:ascii="Verdana" w:hAnsi="Verdana"/>
                <w:i/>
                <w:sz w:val="14"/>
                <w:szCs w:val="14"/>
              </w:rPr>
              <w:t>Other</w:t>
            </w:r>
            <w:r>
              <w:rPr>
                <w:rFonts w:ascii="Verdana" w:hAnsi="Verdana"/>
                <w:i/>
                <w:sz w:val="14"/>
                <w:szCs w:val="14"/>
              </w:rPr>
              <w:t>:</w:t>
            </w:r>
          </w:p>
        </w:tc>
      </w:tr>
    </w:tbl>
    <w:p w:rsidR="00080056" w:rsidRPr="00A60003" w:rsidRDefault="00080056" w:rsidP="00C319E2">
      <w:pPr>
        <w:rPr>
          <w:rFonts w:ascii="Verdana" w:hAnsi="Verdana"/>
          <w:b/>
          <w:i/>
          <w:sz w:val="12"/>
          <w:szCs w:val="20"/>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2"/>
        <w:gridCol w:w="7393"/>
      </w:tblGrid>
      <w:tr w:rsidR="00926471" w:rsidRPr="00926471" w:rsidTr="000830B9">
        <w:trPr>
          <w:trHeight w:val="2159"/>
        </w:trPr>
        <w:tc>
          <w:tcPr>
            <w:tcW w:w="7272" w:type="dxa"/>
            <w:shd w:val="clear" w:color="auto" w:fill="auto"/>
          </w:tcPr>
          <w:p w:rsidR="00926471" w:rsidRPr="00926471" w:rsidRDefault="00926471" w:rsidP="00080056">
            <w:pPr>
              <w:rPr>
                <w:rFonts w:ascii="Verdana" w:hAnsi="Verdana"/>
                <w:b/>
                <w:i/>
                <w:sz w:val="20"/>
                <w:szCs w:val="20"/>
              </w:rPr>
            </w:pPr>
            <w:r w:rsidRPr="00926471">
              <w:rPr>
                <w:rFonts w:ascii="Verdana" w:hAnsi="Verdana"/>
                <w:b/>
                <w:i/>
                <w:sz w:val="20"/>
                <w:szCs w:val="20"/>
              </w:rPr>
              <w:t>What’s Working:</w:t>
            </w:r>
          </w:p>
          <w:p w:rsidR="00926471" w:rsidRPr="00926471" w:rsidRDefault="00926471" w:rsidP="00080056">
            <w:pPr>
              <w:rPr>
                <w:rFonts w:ascii="Verdana" w:hAnsi="Verdana"/>
                <w:b/>
                <w:i/>
                <w:sz w:val="20"/>
                <w:szCs w:val="20"/>
              </w:rPr>
            </w:pPr>
          </w:p>
          <w:p w:rsidR="00926471" w:rsidRPr="00926471" w:rsidRDefault="00926471" w:rsidP="00080056">
            <w:pPr>
              <w:rPr>
                <w:rFonts w:ascii="Verdana" w:hAnsi="Verdana"/>
                <w:b/>
                <w:i/>
                <w:sz w:val="20"/>
                <w:szCs w:val="20"/>
              </w:rPr>
            </w:pPr>
          </w:p>
          <w:p w:rsidR="00926471" w:rsidRPr="00926471" w:rsidRDefault="00926471" w:rsidP="00080056">
            <w:pPr>
              <w:rPr>
                <w:rFonts w:ascii="Verdana" w:hAnsi="Verdana"/>
                <w:b/>
                <w:i/>
                <w:sz w:val="20"/>
                <w:szCs w:val="20"/>
              </w:rPr>
            </w:pPr>
          </w:p>
          <w:p w:rsidR="00926471" w:rsidRPr="00926471" w:rsidRDefault="00926471" w:rsidP="00080056">
            <w:pPr>
              <w:rPr>
                <w:rFonts w:ascii="Verdana" w:hAnsi="Verdana"/>
                <w:b/>
                <w:i/>
                <w:sz w:val="20"/>
                <w:szCs w:val="20"/>
              </w:rPr>
            </w:pPr>
          </w:p>
        </w:tc>
        <w:tc>
          <w:tcPr>
            <w:tcW w:w="7393" w:type="dxa"/>
            <w:shd w:val="clear" w:color="auto" w:fill="auto"/>
          </w:tcPr>
          <w:p w:rsidR="00926471" w:rsidRPr="00926471" w:rsidRDefault="00926471" w:rsidP="00080056">
            <w:pPr>
              <w:rPr>
                <w:rFonts w:ascii="Verdana" w:hAnsi="Verdana"/>
                <w:b/>
                <w:i/>
                <w:sz w:val="20"/>
                <w:szCs w:val="20"/>
              </w:rPr>
            </w:pPr>
            <w:r w:rsidRPr="00926471">
              <w:rPr>
                <w:rFonts w:ascii="Verdana" w:hAnsi="Verdana"/>
                <w:b/>
                <w:i/>
                <w:sz w:val="20"/>
                <w:szCs w:val="20"/>
              </w:rPr>
              <w:t>Current Focus----Challenges----Concerns:</w:t>
            </w:r>
          </w:p>
          <w:p w:rsidR="00926471" w:rsidRPr="00926471" w:rsidRDefault="00926471" w:rsidP="00080056">
            <w:pPr>
              <w:rPr>
                <w:rFonts w:ascii="Verdana" w:hAnsi="Verdana"/>
                <w:b/>
                <w:i/>
                <w:sz w:val="20"/>
                <w:szCs w:val="20"/>
              </w:rPr>
            </w:pPr>
          </w:p>
          <w:p w:rsidR="00926471" w:rsidRPr="00926471" w:rsidRDefault="00926471" w:rsidP="00080056">
            <w:pPr>
              <w:rPr>
                <w:rFonts w:ascii="Verdana" w:hAnsi="Verdana"/>
                <w:b/>
                <w:i/>
                <w:sz w:val="20"/>
                <w:szCs w:val="20"/>
              </w:rPr>
            </w:pPr>
          </w:p>
          <w:p w:rsidR="00926471" w:rsidRPr="00926471" w:rsidRDefault="00926471" w:rsidP="00080056">
            <w:pPr>
              <w:rPr>
                <w:rFonts w:ascii="Verdana" w:hAnsi="Verdana"/>
                <w:b/>
                <w:i/>
                <w:sz w:val="20"/>
                <w:szCs w:val="20"/>
              </w:rPr>
            </w:pPr>
            <w:bookmarkStart w:id="0" w:name="_GoBack"/>
            <w:bookmarkEnd w:id="0"/>
          </w:p>
        </w:tc>
      </w:tr>
      <w:tr w:rsidR="00926471" w:rsidRPr="00926471" w:rsidTr="000830B9">
        <w:trPr>
          <w:trHeight w:val="1790"/>
        </w:trPr>
        <w:tc>
          <w:tcPr>
            <w:tcW w:w="7272" w:type="dxa"/>
            <w:shd w:val="clear" w:color="auto" w:fill="auto"/>
          </w:tcPr>
          <w:p w:rsidR="00926471" w:rsidRPr="00926471" w:rsidRDefault="005F3D8E" w:rsidP="00080056">
            <w:pPr>
              <w:rPr>
                <w:rFonts w:ascii="Verdana" w:hAnsi="Verdana"/>
                <w:b/>
                <w:i/>
                <w:sz w:val="20"/>
                <w:szCs w:val="20"/>
              </w:rPr>
            </w:pPr>
            <w:r>
              <w:rPr>
                <w:rFonts w:ascii="Verdana" w:hAnsi="Verdana"/>
                <w:b/>
                <w:i/>
                <w:sz w:val="20"/>
                <w:szCs w:val="20"/>
              </w:rPr>
              <w:t>Counselor</w:t>
            </w:r>
            <w:r w:rsidR="00926471" w:rsidRPr="00926471">
              <w:rPr>
                <w:rFonts w:ascii="Verdana" w:hAnsi="Verdana"/>
                <w:b/>
                <w:i/>
                <w:sz w:val="20"/>
                <w:szCs w:val="20"/>
              </w:rPr>
              <w:t>’s Next Steps:</w:t>
            </w:r>
          </w:p>
        </w:tc>
        <w:tc>
          <w:tcPr>
            <w:tcW w:w="7393" w:type="dxa"/>
            <w:shd w:val="clear" w:color="auto" w:fill="auto"/>
          </w:tcPr>
          <w:p w:rsidR="00926471" w:rsidRPr="00926471" w:rsidRDefault="00926471" w:rsidP="00080056">
            <w:pPr>
              <w:rPr>
                <w:rFonts w:ascii="Verdana" w:hAnsi="Verdana"/>
                <w:b/>
                <w:i/>
                <w:sz w:val="20"/>
                <w:szCs w:val="20"/>
              </w:rPr>
            </w:pPr>
            <w:r w:rsidRPr="00926471">
              <w:rPr>
                <w:rFonts w:ascii="Verdana" w:hAnsi="Verdana"/>
                <w:b/>
                <w:i/>
                <w:sz w:val="20"/>
                <w:szCs w:val="20"/>
              </w:rPr>
              <w:t>Mentor’s Next Steps:</w:t>
            </w:r>
          </w:p>
          <w:p w:rsidR="00926471" w:rsidRPr="00926471" w:rsidRDefault="00926471" w:rsidP="00080056">
            <w:pPr>
              <w:rPr>
                <w:rFonts w:ascii="Verdana" w:hAnsi="Verdana"/>
                <w:b/>
                <w:i/>
                <w:sz w:val="20"/>
                <w:szCs w:val="20"/>
              </w:rPr>
            </w:pPr>
          </w:p>
          <w:p w:rsidR="00926471" w:rsidRPr="00926471" w:rsidRDefault="00926471" w:rsidP="00080056">
            <w:pPr>
              <w:rPr>
                <w:rFonts w:ascii="Verdana" w:hAnsi="Verdana"/>
                <w:b/>
                <w:i/>
                <w:sz w:val="20"/>
                <w:szCs w:val="20"/>
              </w:rPr>
            </w:pPr>
          </w:p>
          <w:p w:rsidR="00926471" w:rsidRPr="00926471" w:rsidRDefault="00926471" w:rsidP="00080056">
            <w:pPr>
              <w:rPr>
                <w:rFonts w:ascii="Verdana" w:hAnsi="Verdana"/>
                <w:b/>
                <w:i/>
                <w:sz w:val="20"/>
                <w:szCs w:val="20"/>
              </w:rPr>
            </w:pPr>
          </w:p>
          <w:p w:rsidR="00926471" w:rsidRPr="00926471" w:rsidRDefault="00926471" w:rsidP="00080056">
            <w:pPr>
              <w:rPr>
                <w:rFonts w:ascii="Verdana" w:hAnsi="Verdana"/>
                <w:b/>
                <w:i/>
                <w:sz w:val="20"/>
                <w:szCs w:val="20"/>
              </w:rPr>
            </w:pPr>
          </w:p>
          <w:p w:rsidR="00926471" w:rsidRPr="00926471" w:rsidRDefault="00926471" w:rsidP="00080056">
            <w:pPr>
              <w:rPr>
                <w:rFonts w:ascii="Verdana" w:hAnsi="Verdana"/>
                <w:b/>
                <w:i/>
                <w:sz w:val="20"/>
                <w:szCs w:val="20"/>
              </w:rPr>
            </w:pPr>
          </w:p>
        </w:tc>
      </w:tr>
    </w:tbl>
    <w:p w:rsidR="00C319E2" w:rsidRPr="00A60003" w:rsidRDefault="00C319E2" w:rsidP="00C319E2">
      <w:pPr>
        <w:ind w:left="-1008" w:firstLine="720"/>
        <w:rPr>
          <w:rFonts w:ascii="Verdana" w:hAnsi="Verdana"/>
          <w:b/>
          <w:i/>
          <w:sz w:val="12"/>
          <w:szCs w:val="20"/>
        </w:rPr>
      </w:pPr>
    </w:p>
    <w:tbl>
      <w:tblPr>
        <w:tblW w:w="147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4725"/>
      </w:tblGrid>
      <w:tr w:rsidR="00675D8D" w:rsidRPr="00675D8D" w:rsidTr="000830B9">
        <w:trPr>
          <w:trHeight w:val="332"/>
        </w:trPr>
        <w:tc>
          <w:tcPr>
            <w:tcW w:w="14725" w:type="dxa"/>
            <w:shd w:val="clear" w:color="auto" w:fill="D9D9D9"/>
            <w:vAlign w:val="center"/>
          </w:tcPr>
          <w:p w:rsidR="00C319E2" w:rsidRPr="00675D8D" w:rsidRDefault="00C319E2" w:rsidP="00BF5779">
            <w:pPr>
              <w:rPr>
                <w:rFonts w:ascii="Arial" w:hAnsi="Arial" w:cs="Arial"/>
                <w:b/>
                <w:sz w:val="20"/>
                <w:szCs w:val="20"/>
              </w:rPr>
            </w:pPr>
            <w:r w:rsidRPr="00675D8D">
              <w:rPr>
                <w:rFonts w:ascii="Arial" w:hAnsi="Arial" w:cs="Arial"/>
                <w:b/>
                <w:sz w:val="20"/>
                <w:szCs w:val="20"/>
              </w:rPr>
              <w:t xml:space="preserve">Next Meeting Date:                                 </w:t>
            </w:r>
            <w:r w:rsidR="00A1500E">
              <w:rPr>
                <w:rFonts w:ascii="Arial" w:hAnsi="Arial" w:cs="Arial"/>
                <w:b/>
                <w:sz w:val="20"/>
                <w:szCs w:val="20"/>
              </w:rPr>
              <w:t xml:space="preserve">                                          </w:t>
            </w:r>
            <w:r w:rsidRPr="00675D8D">
              <w:rPr>
                <w:rFonts w:ascii="Arial" w:hAnsi="Arial" w:cs="Arial"/>
                <w:b/>
                <w:sz w:val="20"/>
                <w:szCs w:val="20"/>
              </w:rPr>
              <w:t>Focus</w:t>
            </w:r>
            <w:r w:rsidR="00A1500E">
              <w:rPr>
                <w:rFonts w:ascii="Arial" w:hAnsi="Arial" w:cs="Arial"/>
                <w:b/>
                <w:sz w:val="20"/>
                <w:szCs w:val="20"/>
              </w:rPr>
              <w:t xml:space="preserve">: </w:t>
            </w:r>
          </w:p>
        </w:tc>
      </w:tr>
      <w:tr w:rsidR="00A1500E" w:rsidRPr="00675D8D" w:rsidTr="000830B9">
        <w:trPr>
          <w:trHeight w:val="350"/>
        </w:trPr>
        <w:tc>
          <w:tcPr>
            <w:tcW w:w="14725" w:type="dxa"/>
            <w:shd w:val="clear" w:color="auto" w:fill="D9D9D9"/>
            <w:vAlign w:val="center"/>
          </w:tcPr>
          <w:p w:rsidR="00A1500E" w:rsidRPr="00675D8D" w:rsidRDefault="00A1500E" w:rsidP="00BF5779">
            <w:pPr>
              <w:rPr>
                <w:rFonts w:ascii="Arial" w:hAnsi="Arial" w:cs="Arial"/>
                <w:b/>
                <w:sz w:val="20"/>
                <w:szCs w:val="20"/>
              </w:rPr>
            </w:pPr>
            <w:r>
              <w:rPr>
                <w:rFonts w:ascii="Arial" w:hAnsi="Arial" w:cs="Arial"/>
                <w:b/>
                <w:sz w:val="20"/>
                <w:szCs w:val="20"/>
              </w:rPr>
              <w:t>Questions:</w:t>
            </w:r>
          </w:p>
        </w:tc>
      </w:tr>
    </w:tbl>
    <w:p w:rsidR="00C319E2" w:rsidRPr="00A60003" w:rsidRDefault="00C319E2" w:rsidP="00C319E2">
      <w:pPr>
        <w:ind w:left="-1008" w:firstLine="720"/>
        <w:rPr>
          <w:rFonts w:ascii="Verdana" w:hAnsi="Verdana"/>
          <w:b/>
          <w:i/>
          <w:sz w:val="12"/>
          <w:szCs w:val="20"/>
        </w:rPr>
      </w:pPr>
    </w:p>
    <w:tbl>
      <w:tblPr>
        <w:tblW w:w="14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430"/>
        <w:gridCol w:w="2520"/>
        <w:gridCol w:w="4050"/>
        <w:gridCol w:w="2880"/>
      </w:tblGrid>
      <w:tr w:rsidR="00A60003" w:rsidRPr="00675D8D" w:rsidTr="000830B9">
        <w:trPr>
          <w:trHeight w:val="144"/>
        </w:trPr>
        <w:tc>
          <w:tcPr>
            <w:tcW w:w="2857" w:type="dxa"/>
            <w:vMerge w:val="restart"/>
            <w:shd w:val="clear" w:color="auto" w:fill="auto"/>
          </w:tcPr>
          <w:p w:rsidR="00A60003" w:rsidRPr="00675D8D" w:rsidRDefault="00A60003" w:rsidP="00EF5FE0">
            <w:pPr>
              <w:rPr>
                <w:rFonts w:ascii="Verdana" w:hAnsi="Verdana"/>
                <w:b/>
                <w:i/>
                <w:sz w:val="16"/>
                <w:szCs w:val="16"/>
              </w:rPr>
            </w:pPr>
            <w:r w:rsidRPr="00675D8D">
              <w:rPr>
                <w:rFonts w:ascii="Verdana" w:hAnsi="Verdana"/>
                <w:b/>
                <w:i/>
                <w:sz w:val="16"/>
                <w:szCs w:val="16"/>
              </w:rPr>
              <w:t>Planning &amp; Preparation</w:t>
            </w:r>
          </w:p>
          <w:p w:rsidR="00A60003" w:rsidRDefault="00A60003" w:rsidP="00EF5FE0">
            <w:pPr>
              <w:numPr>
                <w:ilvl w:val="0"/>
                <w:numId w:val="5"/>
              </w:numPr>
              <w:ind w:left="90" w:hanging="90"/>
              <w:rPr>
                <w:rFonts w:ascii="Verdana" w:hAnsi="Verdana"/>
                <w:i/>
                <w:sz w:val="12"/>
                <w:szCs w:val="12"/>
              </w:rPr>
            </w:pPr>
            <w:r>
              <w:rPr>
                <w:rFonts w:ascii="Verdana" w:hAnsi="Verdana"/>
                <w:i/>
                <w:sz w:val="12"/>
                <w:szCs w:val="12"/>
              </w:rPr>
              <w:t xml:space="preserve">Demonstrates knowledge of the NYS comprehensive </w:t>
            </w:r>
            <w:proofErr w:type="gramStart"/>
            <w:r>
              <w:rPr>
                <w:rFonts w:ascii="Verdana" w:hAnsi="Verdana"/>
                <w:i/>
                <w:sz w:val="12"/>
                <w:szCs w:val="12"/>
              </w:rPr>
              <w:t>school counseling</w:t>
            </w:r>
            <w:proofErr w:type="gramEnd"/>
            <w:r>
              <w:rPr>
                <w:rFonts w:ascii="Verdana" w:hAnsi="Verdana"/>
                <w:i/>
                <w:sz w:val="12"/>
                <w:szCs w:val="12"/>
              </w:rPr>
              <w:t xml:space="preserve"> model.</w:t>
            </w:r>
          </w:p>
          <w:p w:rsidR="00A60003" w:rsidRDefault="00A60003" w:rsidP="00EF5FE0">
            <w:pPr>
              <w:numPr>
                <w:ilvl w:val="0"/>
                <w:numId w:val="5"/>
              </w:numPr>
              <w:ind w:left="90" w:hanging="90"/>
              <w:rPr>
                <w:rFonts w:ascii="Verdana" w:hAnsi="Verdana"/>
                <w:i/>
                <w:sz w:val="12"/>
                <w:szCs w:val="12"/>
              </w:rPr>
            </w:pPr>
            <w:r>
              <w:rPr>
                <w:rFonts w:ascii="Verdana" w:hAnsi="Verdana"/>
                <w:i/>
                <w:sz w:val="12"/>
                <w:szCs w:val="12"/>
              </w:rPr>
              <w:t>Promotes, plans, implements, assesses and updates a school counseling program appropriate to a multicultural student population.</w:t>
            </w:r>
          </w:p>
          <w:p w:rsidR="00A60003" w:rsidRDefault="00A60003" w:rsidP="00EF5FE0">
            <w:pPr>
              <w:numPr>
                <w:ilvl w:val="0"/>
                <w:numId w:val="5"/>
              </w:numPr>
              <w:ind w:left="90" w:hanging="90"/>
              <w:rPr>
                <w:rFonts w:ascii="Verdana" w:hAnsi="Verdana"/>
                <w:i/>
                <w:sz w:val="12"/>
                <w:szCs w:val="12"/>
              </w:rPr>
            </w:pPr>
            <w:r>
              <w:rPr>
                <w:rFonts w:ascii="Verdana" w:hAnsi="Verdana"/>
                <w:i/>
                <w:sz w:val="12"/>
                <w:szCs w:val="12"/>
              </w:rPr>
              <w:t>Collaborates with counselor colleagues, administrators, teachers, parents, students</w:t>
            </w:r>
          </w:p>
          <w:p w:rsidR="00A60003" w:rsidRDefault="00A60003" w:rsidP="00EF5FE0">
            <w:pPr>
              <w:numPr>
                <w:ilvl w:val="0"/>
                <w:numId w:val="5"/>
              </w:numPr>
              <w:ind w:left="90" w:hanging="90"/>
              <w:rPr>
                <w:rFonts w:ascii="Verdana" w:hAnsi="Verdana"/>
                <w:i/>
                <w:sz w:val="12"/>
                <w:szCs w:val="12"/>
              </w:rPr>
            </w:pPr>
            <w:r>
              <w:rPr>
                <w:rFonts w:ascii="Verdana" w:hAnsi="Verdana"/>
                <w:i/>
                <w:sz w:val="12"/>
                <w:szCs w:val="12"/>
              </w:rPr>
              <w:t>Demonstrates knowledge of the NYS Learning Standards and ties activities or lessons to them.</w:t>
            </w:r>
          </w:p>
          <w:p w:rsidR="00A60003" w:rsidRDefault="00A60003" w:rsidP="00EF5FE0">
            <w:pPr>
              <w:numPr>
                <w:ilvl w:val="0"/>
                <w:numId w:val="5"/>
              </w:numPr>
              <w:ind w:left="90" w:hanging="90"/>
              <w:rPr>
                <w:rFonts w:ascii="Verdana" w:hAnsi="Verdana"/>
                <w:i/>
                <w:sz w:val="12"/>
                <w:szCs w:val="12"/>
              </w:rPr>
            </w:pPr>
            <w:r>
              <w:rPr>
                <w:rFonts w:ascii="Verdana" w:hAnsi="Verdana"/>
                <w:i/>
                <w:sz w:val="12"/>
                <w:szCs w:val="12"/>
              </w:rPr>
              <w:t>Demonstrates knowledge of counseling theory and techniques.</w:t>
            </w:r>
          </w:p>
          <w:p w:rsidR="00A60003" w:rsidRDefault="00A60003" w:rsidP="00EF5FE0">
            <w:pPr>
              <w:numPr>
                <w:ilvl w:val="0"/>
                <w:numId w:val="5"/>
              </w:numPr>
              <w:ind w:left="90" w:hanging="90"/>
              <w:rPr>
                <w:rFonts w:ascii="Verdana" w:hAnsi="Verdana"/>
                <w:i/>
                <w:sz w:val="12"/>
                <w:szCs w:val="12"/>
              </w:rPr>
            </w:pPr>
            <w:r>
              <w:rPr>
                <w:rFonts w:ascii="Verdana" w:hAnsi="Verdana"/>
                <w:i/>
                <w:sz w:val="12"/>
                <w:szCs w:val="12"/>
              </w:rPr>
              <w:t>Demonstrates knowledge of child and adolescent development</w:t>
            </w:r>
          </w:p>
          <w:p w:rsidR="00A60003" w:rsidRDefault="00A60003" w:rsidP="00EF5FE0">
            <w:pPr>
              <w:numPr>
                <w:ilvl w:val="0"/>
                <w:numId w:val="5"/>
              </w:numPr>
              <w:ind w:left="90" w:hanging="90"/>
              <w:rPr>
                <w:rFonts w:ascii="Verdana" w:hAnsi="Verdana"/>
                <w:i/>
                <w:sz w:val="12"/>
                <w:szCs w:val="12"/>
              </w:rPr>
            </w:pPr>
            <w:r>
              <w:rPr>
                <w:rFonts w:ascii="Verdana" w:hAnsi="Verdana"/>
                <w:i/>
                <w:sz w:val="12"/>
                <w:szCs w:val="12"/>
              </w:rPr>
              <w:t>Demonstrates knowledge of the special education process</w:t>
            </w:r>
          </w:p>
          <w:p w:rsidR="00A60003" w:rsidRPr="00675D8D" w:rsidRDefault="00A60003" w:rsidP="00EF5FE0">
            <w:pPr>
              <w:numPr>
                <w:ilvl w:val="0"/>
                <w:numId w:val="5"/>
              </w:numPr>
              <w:ind w:left="90" w:hanging="90"/>
              <w:rPr>
                <w:rFonts w:ascii="Verdana" w:hAnsi="Verdana"/>
                <w:b/>
                <w:i/>
                <w:sz w:val="12"/>
                <w:szCs w:val="12"/>
              </w:rPr>
            </w:pPr>
            <w:r w:rsidRPr="009E2182">
              <w:rPr>
                <w:rFonts w:ascii="Verdana" w:hAnsi="Verdana"/>
                <w:i/>
                <w:sz w:val="12"/>
                <w:szCs w:val="12"/>
              </w:rPr>
              <w:t>Demonstrates knowledge of technology and use of data.</w:t>
            </w:r>
          </w:p>
        </w:tc>
        <w:tc>
          <w:tcPr>
            <w:tcW w:w="2430" w:type="dxa"/>
            <w:vMerge w:val="restart"/>
            <w:shd w:val="clear" w:color="auto" w:fill="auto"/>
          </w:tcPr>
          <w:p w:rsidR="00A60003" w:rsidRPr="00675D8D" w:rsidRDefault="00A60003" w:rsidP="00675D8D">
            <w:pPr>
              <w:rPr>
                <w:rFonts w:ascii="Verdana" w:hAnsi="Verdana"/>
                <w:b/>
                <w:i/>
                <w:sz w:val="16"/>
                <w:szCs w:val="16"/>
              </w:rPr>
            </w:pPr>
            <w:r>
              <w:rPr>
                <w:rFonts w:ascii="Verdana" w:hAnsi="Verdana"/>
                <w:b/>
                <w:i/>
                <w:sz w:val="16"/>
                <w:szCs w:val="16"/>
              </w:rPr>
              <w:t xml:space="preserve">Counseling </w:t>
            </w:r>
            <w:r w:rsidRPr="00675D8D">
              <w:rPr>
                <w:rFonts w:ascii="Verdana" w:hAnsi="Verdana"/>
                <w:b/>
                <w:i/>
                <w:sz w:val="16"/>
                <w:szCs w:val="16"/>
              </w:rPr>
              <w:t>Environment</w:t>
            </w:r>
          </w:p>
          <w:p w:rsidR="00A60003" w:rsidRDefault="00A60003" w:rsidP="005A1382">
            <w:pPr>
              <w:numPr>
                <w:ilvl w:val="0"/>
                <w:numId w:val="6"/>
              </w:numPr>
              <w:ind w:left="72" w:hanging="90"/>
              <w:rPr>
                <w:rFonts w:ascii="Verdana" w:hAnsi="Verdana"/>
                <w:i/>
                <w:sz w:val="12"/>
                <w:szCs w:val="12"/>
              </w:rPr>
            </w:pPr>
            <w:r>
              <w:rPr>
                <w:rFonts w:ascii="Verdana" w:hAnsi="Verdana"/>
                <w:i/>
                <w:sz w:val="12"/>
                <w:szCs w:val="12"/>
              </w:rPr>
              <w:t>Manages routines and procedures</w:t>
            </w:r>
          </w:p>
          <w:p w:rsidR="00A60003" w:rsidRDefault="00A60003" w:rsidP="005A1382">
            <w:pPr>
              <w:numPr>
                <w:ilvl w:val="0"/>
                <w:numId w:val="6"/>
              </w:numPr>
              <w:ind w:left="72" w:hanging="90"/>
              <w:rPr>
                <w:rFonts w:ascii="Verdana" w:hAnsi="Verdana"/>
                <w:i/>
                <w:sz w:val="12"/>
                <w:szCs w:val="12"/>
              </w:rPr>
            </w:pPr>
            <w:r>
              <w:rPr>
                <w:rFonts w:ascii="Verdana" w:hAnsi="Verdana"/>
                <w:i/>
                <w:sz w:val="12"/>
                <w:szCs w:val="12"/>
              </w:rPr>
              <w:t>Works with all students, school staff, families and members of the community as an integral part of the educational program.</w:t>
            </w:r>
          </w:p>
          <w:p w:rsidR="00A60003" w:rsidRDefault="00A60003" w:rsidP="005A1382">
            <w:pPr>
              <w:numPr>
                <w:ilvl w:val="0"/>
                <w:numId w:val="6"/>
              </w:numPr>
              <w:ind w:left="72" w:hanging="90"/>
              <w:rPr>
                <w:rFonts w:ascii="Verdana" w:hAnsi="Verdana"/>
                <w:i/>
                <w:sz w:val="12"/>
                <w:szCs w:val="12"/>
              </w:rPr>
            </w:pPr>
            <w:r>
              <w:rPr>
                <w:rFonts w:ascii="Verdana" w:hAnsi="Verdana"/>
                <w:i/>
                <w:sz w:val="12"/>
                <w:szCs w:val="12"/>
              </w:rPr>
              <w:t>Works to develop a trust relationship with students, creating an environment of respect and is sensitive to the needs of a diverse population.</w:t>
            </w:r>
          </w:p>
          <w:p w:rsidR="00A60003" w:rsidRDefault="00A60003" w:rsidP="005A1382">
            <w:pPr>
              <w:numPr>
                <w:ilvl w:val="0"/>
                <w:numId w:val="6"/>
              </w:numPr>
              <w:ind w:left="72" w:hanging="90"/>
              <w:rPr>
                <w:rFonts w:ascii="Verdana" w:hAnsi="Verdana"/>
                <w:i/>
                <w:sz w:val="12"/>
                <w:szCs w:val="12"/>
              </w:rPr>
            </w:pPr>
            <w:r>
              <w:rPr>
                <w:rFonts w:ascii="Verdana" w:hAnsi="Verdana"/>
                <w:i/>
                <w:sz w:val="12"/>
                <w:szCs w:val="12"/>
              </w:rPr>
              <w:t>Organizes physical space, including literary and electronic resources for students when such resources are available.</w:t>
            </w:r>
          </w:p>
          <w:p w:rsidR="00A60003" w:rsidRPr="00675D8D" w:rsidRDefault="00A60003" w:rsidP="005A1382">
            <w:pPr>
              <w:numPr>
                <w:ilvl w:val="0"/>
                <w:numId w:val="6"/>
              </w:numPr>
              <w:ind w:left="72" w:hanging="90"/>
              <w:rPr>
                <w:rFonts w:ascii="Verdana" w:hAnsi="Verdana"/>
                <w:i/>
                <w:sz w:val="12"/>
                <w:szCs w:val="12"/>
              </w:rPr>
            </w:pPr>
            <w:r>
              <w:rPr>
                <w:rFonts w:ascii="Verdana" w:hAnsi="Verdana"/>
                <w:i/>
                <w:sz w:val="12"/>
                <w:szCs w:val="12"/>
              </w:rPr>
              <w:t>Contributes to the school climate by promoting standards of conduct and scholarly habits for students.</w:t>
            </w:r>
            <w:r w:rsidRPr="00675D8D">
              <w:rPr>
                <w:rFonts w:ascii="Verdana" w:hAnsi="Verdana"/>
                <w:i/>
                <w:sz w:val="12"/>
                <w:szCs w:val="12"/>
              </w:rPr>
              <w:t xml:space="preserve"> </w:t>
            </w:r>
          </w:p>
        </w:tc>
        <w:tc>
          <w:tcPr>
            <w:tcW w:w="6570" w:type="dxa"/>
            <w:gridSpan w:val="2"/>
            <w:tcBorders>
              <w:bottom w:val="nil"/>
            </w:tcBorders>
            <w:shd w:val="clear" w:color="auto" w:fill="auto"/>
          </w:tcPr>
          <w:p w:rsidR="00A60003" w:rsidRPr="00590CEB" w:rsidRDefault="00A60003" w:rsidP="00A60003">
            <w:pPr>
              <w:rPr>
                <w:rFonts w:ascii="Verdana" w:hAnsi="Verdana"/>
                <w:i/>
                <w:sz w:val="12"/>
                <w:szCs w:val="12"/>
              </w:rPr>
            </w:pPr>
            <w:r>
              <w:rPr>
                <w:rFonts w:ascii="Verdana" w:hAnsi="Verdana"/>
                <w:b/>
                <w:i/>
                <w:sz w:val="16"/>
                <w:szCs w:val="16"/>
              </w:rPr>
              <w:t>Delivery of Counseling Services</w:t>
            </w:r>
          </w:p>
        </w:tc>
        <w:tc>
          <w:tcPr>
            <w:tcW w:w="2880" w:type="dxa"/>
            <w:vMerge w:val="restart"/>
            <w:shd w:val="clear" w:color="auto" w:fill="auto"/>
          </w:tcPr>
          <w:p w:rsidR="00A60003" w:rsidRPr="00675D8D" w:rsidRDefault="00A60003" w:rsidP="00675D8D">
            <w:pPr>
              <w:rPr>
                <w:rFonts w:ascii="Verdana" w:hAnsi="Verdana"/>
                <w:b/>
                <w:i/>
                <w:sz w:val="16"/>
                <w:szCs w:val="16"/>
              </w:rPr>
            </w:pPr>
            <w:r w:rsidRPr="00675D8D">
              <w:rPr>
                <w:rFonts w:ascii="Verdana" w:hAnsi="Verdana"/>
                <w:b/>
                <w:i/>
                <w:sz w:val="16"/>
                <w:szCs w:val="16"/>
              </w:rPr>
              <w:t>Professional Responsibilities</w:t>
            </w:r>
          </w:p>
          <w:p w:rsidR="00A60003" w:rsidRPr="00BF5779" w:rsidRDefault="00A60003" w:rsidP="005A1382">
            <w:pPr>
              <w:numPr>
                <w:ilvl w:val="0"/>
                <w:numId w:val="8"/>
              </w:numPr>
              <w:ind w:left="72" w:hanging="78"/>
              <w:rPr>
                <w:rFonts w:ascii="Verdana" w:hAnsi="Verdana"/>
                <w:i/>
                <w:sz w:val="12"/>
                <w:szCs w:val="12"/>
              </w:rPr>
            </w:pPr>
            <w:r>
              <w:rPr>
                <w:rFonts w:ascii="Verdana" w:hAnsi="Verdana"/>
                <w:i/>
                <w:sz w:val="12"/>
                <w:szCs w:val="12"/>
              </w:rPr>
              <w:t>Maintains records and data and uses them to drive program and promote student progress.</w:t>
            </w:r>
          </w:p>
          <w:p w:rsidR="00A60003" w:rsidRPr="00BF5779" w:rsidRDefault="00A60003" w:rsidP="005A1382">
            <w:pPr>
              <w:numPr>
                <w:ilvl w:val="0"/>
                <w:numId w:val="8"/>
              </w:numPr>
              <w:ind w:left="72" w:hanging="78"/>
              <w:rPr>
                <w:rFonts w:ascii="Verdana" w:hAnsi="Verdana"/>
                <w:i/>
                <w:sz w:val="12"/>
                <w:szCs w:val="12"/>
              </w:rPr>
            </w:pPr>
            <w:r>
              <w:rPr>
                <w:rFonts w:ascii="Verdana" w:hAnsi="Verdana"/>
                <w:i/>
                <w:sz w:val="12"/>
                <w:szCs w:val="12"/>
              </w:rPr>
              <w:t>Meets deadlines</w:t>
            </w:r>
          </w:p>
          <w:p w:rsidR="00A60003" w:rsidRPr="00BF5779" w:rsidRDefault="00A60003" w:rsidP="005A1382">
            <w:pPr>
              <w:numPr>
                <w:ilvl w:val="0"/>
                <w:numId w:val="8"/>
              </w:numPr>
              <w:ind w:left="72" w:hanging="78"/>
              <w:rPr>
                <w:rFonts w:ascii="Verdana" w:hAnsi="Verdana"/>
                <w:i/>
                <w:sz w:val="12"/>
                <w:szCs w:val="12"/>
              </w:rPr>
            </w:pPr>
            <w:r>
              <w:rPr>
                <w:rFonts w:ascii="Verdana" w:hAnsi="Verdana"/>
                <w:i/>
                <w:sz w:val="12"/>
                <w:szCs w:val="12"/>
              </w:rPr>
              <w:t>Communicates with families and school staff on an ongoing basis.</w:t>
            </w:r>
          </w:p>
          <w:p w:rsidR="00A60003" w:rsidRPr="00BF5779" w:rsidRDefault="00A60003" w:rsidP="005A1382">
            <w:pPr>
              <w:numPr>
                <w:ilvl w:val="0"/>
                <w:numId w:val="8"/>
              </w:numPr>
              <w:ind w:left="72" w:hanging="78"/>
              <w:rPr>
                <w:rFonts w:ascii="Verdana" w:hAnsi="Verdana"/>
                <w:i/>
                <w:sz w:val="12"/>
                <w:szCs w:val="12"/>
              </w:rPr>
            </w:pPr>
            <w:r>
              <w:rPr>
                <w:rFonts w:ascii="Verdana" w:hAnsi="Verdana"/>
                <w:i/>
                <w:sz w:val="12"/>
                <w:szCs w:val="12"/>
              </w:rPr>
              <w:t>Engages in professional development</w:t>
            </w:r>
            <w:r w:rsidRPr="00BF5779">
              <w:rPr>
                <w:rFonts w:ascii="Verdana" w:hAnsi="Verdana"/>
                <w:i/>
                <w:sz w:val="12"/>
                <w:szCs w:val="12"/>
              </w:rPr>
              <w:t>.</w:t>
            </w:r>
          </w:p>
          <w:p w:rsidR="00A60003" w:rsidRPr="00BF5779" w:rsidRDefault="00A60003" w:rsidP="005A1382">
            <w:pPr>
              <w:numPr>
                <w:ilvl w:val="0"/>
                <w:numId w:val="8"/>
              </w:numPr>
              <w:ind w:left="72" w:hanging="78"/>
              <w:rPr>
                <w:rFonts w:ascii="Verdana" w:hAnsi="Verdana"/>
                <w:i/>
                <w:sz w:val="12"/>
                <w:szCs w:val="12"/>
              </w:rPr>
            </w:pPr>
            <w:r>
              <w:rPr>
                <w:rFonts w:ascii="Verdana" w:hAnsi="Verdana"/>
                <w:i/>
                <w:sz w:val="12"/>
                <w:szCs w:val="12"/>
              </w:rPr>
              <w:t>Advocates for individual students, as well as for global educational issues</w:t>
            </w:r>
            <w:r w:rsidRPr="00BF5779">
              <w:rPr>
                <w:rFonts w:ascii="Verdana" w:hAnsi="Verdana"/>
                <w:i/>
                <w:sz w:val="12"/>
                <w:szCs w:val="12"/>
              </w:rPr>
              <w:t>.</w:t>
            </w:r>
          </w:p>
          <w:p w:rsidR="00A60003" w:rsidRPr="00BF5779" w:rsidRDefault="00A60003" w:rsidP="005A1382">
            <w:pPr>
              <w:numPr>
                <w:ilvl w:val="0"/>
                <w:numId w:val="8"/>
              </w:numPr>
              <w:ind w:left="72" w:hanging="78"/>
              <w:rPr>
                <w:rFonts w:ascii="Verdana" w:hAnsi="Verdana"/>
                <w:i/>
                <w:sz w:val="12"/>
                <w:szCs w:val="12"/>
              </w:rPr>
            </w:pPr>
            <w:r>
              <w:rPr>
                <w:rFonts w:ascii="Verdana" w:hAnsi="Verdana"/>
                <w:i/>
                <w:sz w:val="12"/>
                <w:szCs w:val="12"/>
              </w:rPr>
              <w:t>Works to educate others in the educational community about the role of the counselor.</w:t>
            </w:r>
          </w:p>
          <w:p w:rsidR="00A60003" w:rsidRPr="00BF5779" w:rsidRDefault="00A60003" w:rsidP="005A1382">
            <w:pPr>
              <w:numPr>
                <w:ilvl w:val="0"/>
                <w:numId w:val="8"/>
              </w:numPr>
              <w:ind w:left="72" w:hanging="78"/>
              <w:rPr>
                <w:rFonts w:ascii="Verdana" w:hAnsi="Verdana"/>
                <w:i/>
                <w:sz w:val="12"/>
                <w:szCs w:val="12"/>
              </w:rPr>
            </w:pPr>
            <w:r>
              <w:rPr>
                <w:rFonts w:ascii="Verdana" w:hAnsi="Verdana"/>
                <w:i/>
                <w:sz w:val="12"/>
                <w:szCs w:val="12"/>
              </w:rPr>
              <w:t xml:space="preserve">Collaborates with all </w:t>
            </w:r>
            <w:proofErr w:type="gramStart"/>
            <w:r>
              <w:rPr>
                <w:rFonts w:ascii="Verdana" w:hAnsi="Verdana"/>
                <w:i/>
                <w:sz w:val="12"/>
                <w:szCs w:val="12"/>
              </w:rPr>
              <w:t>stake-holders</w:t>
            </w:r>
            <w:proofErr w:type="gramEnd"/>
            <w:r>
              <w:rPr>
                <w:rFonts w:ascii="Verdana" w:hAnsi="Verdana"/>
                <w:i/>
                <w:sz w:val="12"/>
                <w:szCs w:val="12"/>
              </w:rPr>
              <w:t xml:space="preserve"> in the educational community.</w:t>
            </w:r>
          </w:p>
          <w:p w:rsidR="00A60003" w:rsidRPr="003F2290" w:rsidRDefault="00A60003" w:rsidP="005A1382">
            <w:pPr>
              <w:numPr>
                <w:ilvl w:val="0"/>
                <w:numId w:val="8"/>
              </w:numPr>
              <w:ind w:left="72" w:hanging="78"/>
              <w:rPr>
                <w:rFonts w:ascii="Verdana" w:hAnsi="Verdana"/>
                <w:sz w:val="16"/>
                <w:szCs w:val="16"/>
              </w:rPr>
            </w:pPr>
            <w:r>
              <w:rPr>
                <w:rFonts w:ascii="Verdana" w:hAnsi="Verdana"/>
                <w:i/>
                <w:sz w:val="12"/>
                <w:szCs w:val="12"/>
              </w:rPr>
              <w:t>Adheres to the ethics of the counseling profession.</w:t>
            </w:r>
          </w:p>
        </w:tc>
      </w:tr>
      <w:tr w:rsidR="000830B9" w:rsidRPr="00675D8D" w:rsidTr="000830B9">
        <w:trPr>
          <w:trHeight w:val="2582"/>
        </w:trPr>
        <w:tc>
          <w:tcPr>
            <w:tcW w:w="2857" w:type="dxa"/>
            <w:vMerge/>
            <w:shd w:val="clear" w:color="auto" w:fill="auto"/>
          </w:tcPr>
          <w:p w:rsidR="00A60003" w:rsidRPr="00675D8D" w:rsidRDefault="00A60003" w:rsidP="00EF5FE0">
            <w:pPr>
              <w:rPr>
                <w:rFonts w:ascii="Verdana" w:hAnsi="Verdana"/>
                <w:b/>
                <w:i/>
                <w:sz w:val="16"/>
                <w:szCs w:val="16"/>
              </w:rPr>
            </w:pPr>
          </w:p>
        </w:tc>
        <w:tc>
          <w:tcPr>
            <w:tcW w:w="2430" w:type="dxa"/>
            <w:vMerge/>
            <w:shd w:val="clear" w:color="auto" w:fill="auto"/>
          </w:tcPr>
          <w:p w:rsidR="00A60003" w:rsidRDefault="00A60003" w:rsidP="00675D8D">
            <w:pPr>
              <w:rPr>
                <w:rFonts w:ascii="Verdana" w:hAnsi="Verdana"/>
                <w:b/>
                <w:i/>
                <w:sz w:val="16"/>
                <w:szCs w:val="16"/>
              </w:rPr>
            </w:pPr>
          </w:p>
        </w:tc>
        <w:tc>
          <w:tcPr>
            <w:tcW w:w="2520" w:type="dxa"/>
            <w:tcBorders>
              <w:top w:val="nil"/>
              <w:right w:val="nil"/>
            </w:tcBorders>
            <w:shd w:val="clear" w:color="auto" w:fill="auto"/>
          </w:tcPr>
          <w:p w:rsidR="00A60003" w:rsidRPr="00713A71" w:rsidRDefault="00A60003" w:rsidP="00A60003">
            <w:pPr>
              <w:rPr>
                <w:rFonts w:ascii="Verdana" w:hAnsi="Verdana"/>
                <w:b/>
                <w:i/>
                <w:sz w:val="12"/>
                <w:szCs w:val="12"/>
              </w:rPr>
            </w:pPr>
            <w:r w:rsidRPr="00713A71">
              <w:rPr>
                <w:rFonts w:ascii="Verdana" w:hAnsi="Verdana"/>
                <w:b/>
                <w:i/>
                <w:sz w:val="12"/>
                <w:szCs w:val="12"/>
                <w:u w:val="single"/>
              </w:rPr>
              <w:t>Academic Domain</w:t>
            </w:r>
            <w:r w:rsidRPr="00713A71">
              <w:rPr>
                <w:rFonts w:ascii="Verdana" w:hAnsi="Verdana"/>
                <w:b/>
                <w:i/>
                <w:sz w:val="12"/>
                <w:szCs w:val="12"/>
              </w:rPr>
              <w:t>:</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Develops educational plans and reviews educational progress at least annually with students (H.S.) and/or parents (Elem).</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Reviews report cards and meets with students/parents to review progress.</w:t>
            </w:r>
          </w:p>
          <w:p w:rsidR="00A60003" w:rsidRDefault="00A60003" w:rsidP="000830B9">
            <w:pPr>
              <w:numPr>
                <w:ilvl w:val="0"/>
                <w:numId w:val="9"/>
              </w:numPr>
              <w:ind w:left="40" w:right="-105" w:hanging="90"/>
              <w:rPr>
                <w:rFonts w:ascii="Verdana" w:hAnsi="Verdana"/>
                <w:i/>
                <w:sz w:val="12"/>
                <w:szCs w:val="12"/>
              </w:rPr>
            </w:pPr>
            <w:r>
              <w:rPr>
                <w:rFonts w:ascii="Verdana" w:hAnsi="Verdana"/>
                <w:i/>
                <w:sz w:val="12"/>
                <w:szCs w:val="12"/>
              </w:rPr>
              <w:t>Coordinates agency services (counseling, tutoring, mentoring, etc.)</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Encourages parent involvement</w:t>
            </w:r>
          </w:p>
          <w:p w:rsidR="00A60003" w:rsidRPr="00A60003" w:rsidRDefault="00A60003" w:rsidP="00A60003">
            <w:pPr>
              <w:numPr>
                <w:ilvl w:val="0"/>
                <w:numId w:val="9"/>
              </w:numPr>
              <w:ind w:left="40" w:hanging="90"/>
              <w:rPr>
                <w:rFonts w:ascii="Verdana" w:hAnsi="Verdana"/>
                <w:i/>
                <w:sz w:val="12"/>
                <w:szCs w:val="12"/>
              </w:rPr>
            </w:pPr>
            <w:r>
              <w:rPr>
                <w:rFonts w:ascii="Verdana" w:hAnsi="Verdana"/>
                <w:i/>
                <w:sz w:val="12"/>
                <w:szCs w:val="12"/>
              </w:rPr>
              <w:t>Assists with student support services to remove barriers to academic success (as part of AIS)such as attendance problems, family issues, health, nutrition, mobility, bullying prevention, conflict resolution, teen pregnancy, MH issues, gender identity issues, etc.</w:t>
            </w:r>
          </w:p>
        </w:tc>
        <w:tc>
          <w:tcPr>
            <w:tcW w:w="4050" w:type="dxa"/>
            <w:tcBorders>
              <w:top w:val="nil"/>
              <w:left w:val="nil"/>
            </w:tcBorders>
            <w:shd w:val="clear" w:color="auto" w:fill="auto"/>
          </w:tcPr>
          <w:p w:rsidR="00A60003" w:rsidRPr="00713A71" w:rsidRDefault="00A60003" w:rsidP="00A60003">
            <w:pPr>
              <w:rPr>
                <w:rFonts w:ascii="Verdana" w:hAnsi="Verdana"/>
                <w:b/>
                <w:i/>
                <w:sz w:val="12"/>
                <w:szCs w:val="12"/>
              </w:rPr>
            </w:pPr>
            <w:r>
              <w:rPr>
                <w:rFonts w:ascii="Verdana" w:hAnsi="Verdana"/>
                <w:b/>
                <w:i/>
                <w:sz w:val="12"/>
                <w:szCs w:val="12"/>
                <w:u w:val="single"/>
              </w:rPr>
              <w:t xml:space="preserve">Career </w:t>
            </w:r>
            <w:r w:rsidRPr="00713A71">
              <w:rPr>
                <w:rFonts w:ascii="Verdana" w:hAnsi="Verdana"/>
                <w:b/>
                <w:i/>
                <w:sz w:val="12"/>
                <w:szCs w:val="12"/>
                <w:u w:val="single"/>
              </w:rPr>
              <w:t>Domain</w:t>
            </w:r>
            <w:r w:rsidRPr="00713A71">
              <w:rPr>
                <w:rFonts w:ascii="Verdana" w:hAnsi="Verdana"/>
                <w:b/>
                <w:i/>
                <w:sz w:val="12"/>
                <w:szCs w:val="12"/>
              </w:rPr>
              <w:t>:</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 xml:space="preserve">Provides instruction at each grade level about various careers and career planning skills </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Helps students develop and implement post-secondary educational and career plans.</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Reviews each student’s career plan annually</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Assists students with the college search, application and financial aid processes.</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Assists students with job readiness and employment skills.</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Helps implement NYS CDOS Standards.</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Demonstrates knowledge of the transition process for special education students and assists in implementing that process.</w:t>
            </w:r>
          </w:p>
          <w:p w:rsidR="00A60003" w:rsidRPr="00713A71" w:rsidRDefault="00A60003" w:rsidP="00A60003">
            <w:pPr>
              <w:rPr>
                <w:rFonts w:ascii="Verdana" w:hAnsi="Verdana"/>
                <w:b/>
                <w:i/>
                <w:sz w:val="12"/>
                <w:szCs w:val="12"/>
              </w:rPr>
            </w:pPr>
            <w:r>
              <w:rPr>
                <w:rFonts w:ascii="Verdana" w:hAnsi="Verdana"/>
                <w:b/>
                <w:i/>
                <w:sz w:val="12"/>
                <w:szCs w:val="12"/>
                <w:u w:val="single"/>
              </w:rPr>
              <w:t xml:space="preserve">Personal/Social </w:t>
            </w:r>
            <w:r w:rsidRPr="00713A71">
              <w:rPr>
                <w:rFonts w:ascii="Verdana" w:hAnsi="Verdana"/>
                <w:b/>
                <w:i/>
                <w:sz w:val="12"/>
                <w:szCs w:val="12"/>
                <w:u w:val="single"/>
              </w:rPr>
              <w:t>Domain</w:t>
            </w:r>
            <w:r w:rsidRPr="00713A71">
              <w:rPr>
                <w:rFonts w:ascii="Verdana" w:hAnsi="Verdana"/>
                <w:b/>
                <w:i/>
                <w:sz w:val="12"/>
                <w:szCs w:val="12"/>
              </w:rPr>
              <w:t>:</w:t>
            </w:r>
          </w:p>
          <w:p w:rsidR="00A60003" w:rsidRDefault="00A60003" w:rsidP="00A60003">
            <w:pPr>
              <w:numPr>
                <w:ilvl w:val="0"/>
                <w:numId w:val="9"/>
              </w:numPr>
              <w:ind w:left="40" w:hanging="90"/>
              <w:rPr>
                <w:rFonts w:ascii="Verdana" w:hAnsi="Verdana"/>
                <w:i/>
                <w:sz w:val="12"/>
                <w:szCs w:val="12"/>
              </w:rPr>
            </w:pPr>
            <w:r>
              <w:rPr>
                <w:rFonts w:ascii="Verdana" w:hAnsi="Verdana"/>
                <w:i/>
                <w:sz w:val="12"/>
                <w:szCs w:val="12"/>
              </w:rPr>
              <w:t xml:space="preserve">Promotes youth development in self-esteem, family relationships, social skills, problem solving, </w:t>
            </w:r>
            <w:proofErr w:type="gramStart"/>
            <w:r>
              <w:rPr>
                <w:rFonts w:ascii="Verdana" w:hAnsi="Verdana"/>
                <w:i/>
                <w:sz w:val="12"/>
                <w:szCs w:val="12"/>
              </w:rPr>
              <w:t>decision making</w:t>
            </w:r>
            <w:proofErr w:type="gramEnd"/>
            <w:r>
              <w:rPr>
                <w:rFonts w:ascii="Verdana" w:hAnsi="Verdana"/>
                <w:i/>
                <w:sz w:val="12"/>
                <w:szCs w:val="12"/>
              </w:rPr>
              <w:t xml:space="preserve"> and goal setting, conflict resolution, drug and alcohol avoidance, dealing w/grief and loss, anger management, etc.</w:t>
            </w:r>
          </w:p>
          <w:p w:rsidR="00A60003" w:rsidRDefault="00A60003" w:rsidP="00A60003">
            <w:pPr>
              <w:rPr>
                <w:rFonts w:ascii="Verdana" w:hAnsi="Verdana"/>
                <w:b/>
                <w:i/>
                <w:sz w:val="16"/>
                <w:szCs w:val="16"/>
              </w:rPr>
            </w:pPr>
            <w:r>
              <w:rPr>
                <w:rFonts w:ascii="Verdana" w:hAnsi="Verdana"/>
                <w:i/>
                <w:sz w:val="12"/>
                <w:szCs w:val="12"/>
              </w:rPr>
              <w:t>Provides support for personal/social growth by means of individual counseling, group counseling and classroom guidance.</w:t>
            </w:r>
          </w:p>
        </w:tc>
        <w:tc>
          <w:tcPr>
            <w:tcW w:w="2880" w:type="dxa"/>
            <w:vMerge/>
            <w:shd w:val="clear" w:color="auto" w:fill="auto"/>
          </w:tcPr>
          <w:p w:rsidR="00A60003" w:rsidRPr="00675D8D" w:rsidRDefault="00A60003" w:rsidP="00675D8D">
            <w:pPr>
              <w:rPr>
                <w:rFonts w:ascii="Verdana" w:hAnsi="Verdana"/>
                <w:b/>
                <w:i/>
                <w:sz w:val="16"/>
                <w:szCs w:val="16"/>
              </w:rPr>
            </w:pPr>
          </w:p>
        </w:tc>
      </w:tr>
    </w:tbl>
    <w:p w:rsidR="004E5550" w:rsidRPr="005A77A4" w:rsidRDefault="001606BC" w:rsidP="001606BC">
      <w:pPr>
        <w:pStyle w:val="Footer"/>
        <w:rPr>
          <w:rFonts w:ascii="Arial Narrow" w:hAnsi="Arial Narrow"/>
          <w:i/>
          <w:sz w:val="16"/>
          <w:szCs w:val="16"/>
        </w:rPr>
      </w:pPr>
      <w:r w:rsidRPr="005A77A4">
        <w:rPr>
          <w:rFonts w:ascii="Arial Narrow" w:hAnsi="Arial Narrow"/>
          <w:i/>
          <w:sz w:val="16"/>
          <w:szCs w:val="16"/>
        </w:rPr>
        <w:t xml:space="preserve">Revised </w:t>
      </w:r>
      <w:proofErr w:type="gramStart"/>
      <w:r w:rsidRPr="005A77A4">
        <w:rPr>
          <w:rFonts w:ascii="Arial Narrow" w:hAnsi="Arial Narrow"/>
          <w:i/>
          <w:sz w:val="16"/>
          <w:szCs w:val="16"/>
        </w:rPr>
        <w:t>August,</w:t>
      </w:r>
      <w:proofErr w:type="gramEnd"/>
      <w:r w:rsidRPr="005A77A4">
        <w:rPr>
          <w:rFonts w:ascii="Arial Narrow" w:hAnsi="Arial Narrow"/>
          <w:i/>
          <w:sz w:val="16"/>
          <w:szCs w:val="16"/>
        </w:rPr>
        <w:t xml:space="preserve"> 2011</w:t>
      </w:r>
    </w:p>
    <w:sectPr w:rsidR="004E5550" w:rsidRPr="005A77A4" w:rsidSect="00BF5779">
      <w:pgSz w:w="15840" w:h="12240" w:orient="landscape" w:code="1"/>
      <w:pgMar w:top="432" w:right="792"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FCD"/>
    <w:multiLevelType w:val="hybridMultilevel"/>
    <w:tmpl w:val="5516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707D5"/>
    <w:multiLevelType w:val="hybridMultilevel"/>
    <w:tmpl w:val="98C898A4"/>
    <w:lvl w:ilvl="0" w:tplc="CB6EE6A2">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A3A21"/>
    <w:multiLevelType w:val="hybridMultilevel"/>
    <w:tmpl w:val="A222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21202"/>
    <w:multiLevelType w:val="hybridMultilevel"/>
    <w:tmpl w:val="195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F3792"/>
    <w:multiLevelType w:val="hybridMultilevel"/>
    <w:tmpl w:val="4E1E4FA8"/>
    <w:lvl w:ilvl="0" w:tplc="7940F1C2">
      <w:start w:val="1"/>
      <w:numFmt w:val="bullet"/>
      <w:lvlText w:val="□"/>
      <w:lvlJc w:val="left"/>
      <w:pPr>
        <w:ind w:left="720" w:hanging="360"/>
      </w:pPr>
      <w:rPr>
        <w:rFonts w:ascii="Verdana" w:hAnsi="Verdan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0596A"/>
    <w:multiLevelType w:val="hybridMultilevel"/>
    <w:tmpl w:val="F96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F6BA3"/>
    <w:multiLevelType w:val="hybridMultilevel"/>
    <w:tmpl w:val="21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E447D"/>
    <w:multiLevelType w:val="hybridMultilevel"/>
    <w:tmpl w:val="8306DE0C"/>
    <w:lvl w:ilvl="0" w:tplc="CB6EE6A2">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B2176"/>
    <w:multiLevelType w:val="hybridMultilevel"/>
    <w:tmpl w:val="D868C5AE"/>
    <w:lvl w:ilvl="0" w:tplc="CB6EE6A2">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75C80"/>
    <w:multiLevelType w:val="hybridMultilevel"/>
    <w:tmpl w:val="53C04058"/>
    <w:lvl w:ilvl="0" w:tplc="CB6EE6A2">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21A0E"/>
    <w:multiLevelType w:val="hybridMultilevel"/>
    <w:tmpl w:val="7ABC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
  </w:num>
  <w:num w:numId="5">
    <w:abstractNumId w:val="2"/>
  </w:num>
  <w:num w:numId="6">
    <w:abstractNumId w:val="6"/>
  </w:num>
  <w:num w:numId="7">
    <w:abstractNumId w:val="5"/>
  </w:num>
  <w:num w:numId="8">
    <w:abstractNumId w:val="3"/>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AD"/>
    <w:rsid w:val="00080056"/>
    <w:rsid w:val="000830B9"/>
    <w:rsid w:val="000E2D26"/>
    <w:rsid w:val="001606BC"/>
    <w:rsid w:val="00167708"/>
    <w:rsid w:val="001D515B"/>
    <w:rsid w:val="00225827"/>
    <w:rsid w:val="003F2290"/>
    <w:rsid w:val="004B206F"/>
    <w:rsid w:val="004D71C0"/>
    <w:rsid w:val="004E5550"/>
    <w:rsid w:val="004F4805"/>
    <w:rsid w:val="00590CEB"/>
    <w:rsid w:val="005A1382"/>
    <w:rsid w:val="005A77A4"/>
    <w:rsid w:val="005F3D8E"/>
    <w:rsid w:val="00675D8D"/>
    <w:rsid w:val="00713A71"/>
    <w:rsid w:val="0072347A"/>
    <w:rsid w:val="007D3B9B"/>
    <w:rsid w:val="00926471"/>
    <w:rsid w:val="009E2182"/>
    <w:rsid w:val="00A1500E"/>
    <w:rsid w:val="00A60003"/>
    <w:rsid w:val="00A839C8"/>
    <w:rsid w:val="00AF4FFC"/>
    <w:rsid w:val="00B02B0C"/>
    <w:rsid w:val="00BA1A22"/>
    <w:rsid w:val="00BF5779"/>
    <w:rsid w:val="00C1565C"/>
    <w:rsid w:val="00C319E2"/>
    <w:rsid w:val="00C852A0"/>
    <w:rsid w:val="00CA770B"/>
    <w:rsid w:val="00D14097"/>
    <w:rsid w:val="00D41DBF"/>
    <w:rsid w:val="00D975ED"/>
    <w:rsid w:val="00DA35D9"/>
    <w:rsid w:val="00DE0401"/>
    <w:rsid w:val="00E33239"/>
    <w:rsid w:val="00E427FE"/>
    <w:rsid w:val="00E56056"/>
    <w:rsid w:val="00E83C0F"/>
    <w:rsid w:val="00EC16FC"/>
    <w:rsid w:val="00EF5FE0"/>
    <w:rsid w:val="00F52877"/>
    <w:rsid w:val="00F73913"/>
    <w:rsid w:val="00F745E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34FE8"/>
  <w15:chartTrackingRefBased/>
  <w15:docId w15:val="{617CA954-8B21-41AF-8263-07FB1EFA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75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C3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1606BC"/>
    <w:pPr>
      <w:tabs>
        <w:tab w:val="center" w:pos="4680"/>
        <w:tab w:val="right" w:pos="9360"/>
      </w:tabs>
    </w:pPr>
  </w:style>
  <w:style w:type="character" w:customStyle="1" w:styleId="FooterChar">
    <w:name w:val="Footer Char"/>
    <w:link w:val="Footer"/>
    <w:rsid w:val="001606BC"/>
    <w:rPr>
      <w:sz w:val="24"/>
      <w:szCs w:val="24"/>
    </w:rPr>
  </w:style>
  <w:style w:type="paragraph" w:styleId="BalloonText">
    <w:name w:val="Balloon Text"/>
    <w:basedOn w:val="Normal"/>
    <w:link w:val="BalloonTextChar"/>
    <w:rsid w:val="00D41DBF"/>
    <w:rPr>
      <w:rFonts w:ascii="Segoe UI" w:hAnsi="Segoe UI" w:cs="Segoe UI"/>
      <w:sz w:val="18"/>
      <w:szCs w:val="18"/>
    </w:rPr>
  </w:style>
  <w:style w:type="character" w:customStyle="1" w:styleId="BalloonTextChar">
    <w:name w:val="Balloon Text Char"/>
    <w:link w:val="BalloonText"/>
    <w:rsid w:val="00D41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Costanza</dc:creator>
  <cp:keywords/>
  <cp:lastModifiedBy>Cohen, Stefan L</cp:lastModifiedBy>
  <cp:revision>3</cp:revision>
  <cp:lastPrinted>2017-09-18T14:43:00Z</cp:lastPrinted>
  <dcterms:created xsi:type="dcterms:W3CDTF">2017-09-18T14:43:00Z</dcterms:created>
  <dcterms:modified xsi:type="dcterms:W3CDTF">2017-09-18T14:46:00Z</dcterms:modified>
</cp:coreProperties>
</file>